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rPr>
          <w:rFonts w:ascii="仿宋" w:hAnsi="仿宋" w:eastAsia="仿宋"/>
          <w:b/>
          <w:sz w:val="52"/>
          <w:szCs w:val="52"/>
        </w:rPr>
      </w:pPr>
      <w:r>
        <w:rPr>
          <w:rFonts w:ascii="仿宋" w:hAnsi="仿宋" w:eastAsia="仿宋"/>
          <w:bCs/>
          <w:sz w:val="52"/>
          <w:szCs w:val="52"/>
        </w:rPr>
        <w:drawing>
          <wp:inline distT="0" distB="0" distL="0" distR="0">
            <wp:extent cx="1133475" cy="428625"/>
            <wp:effectExtent l="19050" t="0" r="9525" b="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noChangeArrowheads="1"/>
                    </pic:cNvPicPr>
                  </pic:nvPicPr>
                  <pic:blipFill>
                    <a:blip r:embed="rId4" cstate="print"/>
                    <a:srcRect/>
                    <a:stretch>
                      <a:fillRect/>
                    </a:stretch>
                  </pic:blipFill>
                  <pic:spPr>
                    <a:xfrm>
                      <a:off x="0" y="0"/>
                      <a:ext cx="1133475" cy="428625"/>
                    </a:xfrm>
                    <a:prstGeom prst="rect">
                      <a:avLst/>
                    </a:prstGeom>
                    <a:noFill/>
                    <a:ln w="9525">
                      <a:noFill/>
                      <a:miter lim="800000"/>
                      <a:headEnd/>
                      <a:tailEnd/>
                    </a:ln>
                  </pic:spPr>
                </pic:pic>
              </a:graphicData>
            </a:graphic>
          </wp:inline>
        </w:drawing>
      </w:r>
      <w:r>
        <w:rPr>
          <w:rFonts w:hint="eastAsia" w:ascii="仿宋" w:hAnsi="仿宋" w:eastAsia="仿宋"/>
          <w:b/>
          <w:bCs/>
          <w:kern w:val="0"/>
          <w:sz w:val="52"/>
          <w:szCs w:val="52"/>
          <w:u w:val="single"/>
        </w:rPr>
        <w:t>学生修学旅行课程报名表</w:t>
      </w:r>
    </w:p>
    <w:p>
      <w:pPr>
        <w:pStyle w:val="2"/>
        <w:spacing w:line="520" w:lineRule="exact"/>
        <w:rPr>
          <w:rFonts w:ascii="仿宋" w:hAnsi="仿宋" w:eastAsia="仿宋"/>
        </w:rPr>
      </w:pPr>
      <w:r>
        <w:rPr>
          <w:rFonts w:hint="eastAsia" w:ascii="仿宋" w:hAnsi="仿宋" w:eastAsia="仿宋"/>
        </w:rPr>
        <w:t xml:space="preserve">前往国别/地区：                   课程代码：      </w:t>
      </w:r>
    </w:p>
    <w:tbl>
      <w:tblPr>
        <w:tblStyle w:val="8"/>
        <w:tblW w:w="9262" w:type="dxa"/>
        <w:jc w:val="center"/>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300"/>
        <w:gridCol w:w="847"/>
        <w:gridCol w:w="413"/>
        <w:gridCol w:w="111"/>
        <w:gridCol w:w="549"/>
        <w:gridCol w:w="250"/>
        <w:gridCol w:w="376"/>
        <w:gridCol w:w="610"/>
        <w:gridCol w:w="624"/>
        <w:gridCol w:w="1207"/>
        <w:gridCol w:w="396"/>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825" w:type="dxa"/>
            <w:gridSpan w:val="2"/>
            <w:vAlign w:val="center"/>
          </w:tcPr>
          <w:p>
            <w:pPr>
              <w:pStyle w:val="2"/>
              <w:rPr>
                <w:rFonts w:ascii="仿宋" w:hAnsi="仿宋" w:eastAsia="仿宋"/>
                <w:sz w:val="24"/>
              </w:rPr>
            </w:pPr>
            <w:r>
              <w:rPr>
                <w:rFonts w:hint="eastAsia" w:ascii="仿宋" w:hAnsi="仿宋" w:eastAsia="仿宋"/>
                <w:sz w:val="24"/>
              </w:rPr>
              <w:t>姓名</w:t>
            </w:r>
          </w:p>
        </w:tc>
        <w:tc>
          <w:tcPr>
            <w:tcW w:w="1260" w:type="dxa"/>
            <w:gridSpan w:val="2"/>
            <w:vAlign w:val="center"/>
          </w:tcPr>
          <w:p>
            <w:pPr>
              <w:pStyle w:val="2"/>
              <w:rPr>
                <w:rFonts w:ascii="仿宋" w:hAnsi="仿宋" w:eastAsia="仿宋"/>
                <w:sz w:val="24"/>
              </w:rPr>
            </w:pPr>
          </w:p>
        </w:tc>
        <w:tc>
          <w:tcPr>
            <w:tcW w:w="910" w:type="dxa"/>
            <w:gridSpan w:val="3"/>
            <w:vAlign w:val="center"/>
          </w:tcPr>
          <w:p>
            <w:pPr>
              <w:pStyle w:val="2"/>
              <w:rPr>
                <w:rFonts w:ascii="仿宋" w:hAnsi="仿宋" w:eastAsia="仿宋"/>
                <w:sz w:val="24"/>
              </w:rPr>
            </w:pPr>
            <w:r>
              <w:rPr>
                <w:rFonts w:hint="eastAsia" w:ascii="仿宋" w:hAnsi="仿宋" w:eastAsia="仿宋"/>
                <w:sz w:val="24"/>
              </w:rPr>
              <w:t>性别</w:t>
            </w:r>
          </w:p>
        </w:tc>
        <w:tc>
          <w:tcPr>
            <w:tcW w:w="1610" w:type="dxa"/>
            <w:gridSpan w:val="3"/>
            <w:vAlign w:val="center"/>
          </w:tcPr>
          <w:p>
            <w:pPr>
              <w:pStyle w:val="2"/>
              <w:rPr>
                <w:rFonts w:ascii="仿宋" w:hAnsi="仿宋" w:eastAsia="仿宋"/>
                <w:sz w:val="24"/>
              </w:rPr>
            </w:pPr>
          </w:p>
        </w:tc>
        <w:tc>
          <w:tcPr>
            <w:tcW w:w="1207" w:type="dxa"/>
            <w:vAlign w:val="center"/>
          </w:tcPr>
          <w:p>
            <w:pPr>
              <w:pStyle w:val="2"/>
              <w:rPr>
                <w:rFonts w:ascii="仿宋" w:hAnsi="仿宋" w:eastAsia="仿宋"/>
                <w:sz w:val="24"/>
              </w:rPr>
            </w:pPr>
            <w:r>
              <w:rPr>
                <w:rFonts w:hint="eastAsia" w:ascii="仿宋" w:hAnsi="仿宋" w:eastAsia="仿宋"/>
                <w:sz w:val="24"/>
              </w:rPr>
              <w:t>出生日期</w:t>
            </w:r>
          </w:p>
        </w:tc>
        <w:tc>
          <w:tcPr>
            <w:tcW w:w="3450" w:type="dxa"/>
            <w:gridSpan w:val="2"/>
            <w:vAlign w:val="center"/>
          </w:tcPr>
          <w:p>
            <w:pPr>
              <w:pStyle w:val="2"/>
              <w:rPr>
                <w:rFonts w:ascii="仿宋" w:hAnsi="仿宋" w:eastAsia="仿宋"/>
                <w:sz w:val="24"/>
              </w:rPr>
            </w:pPr>
            <w:r>
              <w:rPr>
                <w:rFonts w:hint="eastAsia" w:ascii="仿宋" w:hAnsi="仿宋" w:eastAsia="仿宋"/>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2745" w:type="dxa"/>
            <w:gridSpan w:val="6"/>
            <w:vAlign w:val="center"/>
          </w:tcPr>
          <w:p>
            <w:pPr>
              <w:pStyle w:val="2"/>
              <w:jc w:val="left"/>
              <w:rPr>
                <w:rFonts w:ascii="仿宋" w:hAnsi="仿宋" w:eastAsia="仿宋"/>
                <w:sz w:val="24"/>
              </w:rPr>
            </w:pPr>
            <w:r>
              <w:rPr>
                <w:rFonts w:hint="eastAsia" w:ascii="仿宋" w:hAnsi="仿宋" w:eastAsia="仿宋"/>
                <w:sz w:val="24"/>
              </w:rPr>
              <w:t>所在学校、年级</w:t>
            </w:r>
          </w:p>
        </w:tc>
        <w:tc>
          <w:tcPr>
            <w:tcW w:w="6517" w:type="dxa"/>
            <w:gridSpan w:val="7"/>
            <w:vAlign w:val="center"/>
          </w:tcPr>
          <w:p>
            <w:pPr>
              <w:pStyle w:val="2"/>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1672" w:type="dxa"/>
            <w:gridSpan w:val="3"/>
            <w:vAlign w:val="center"/>
          </w:tcPr>
          <w:p>
            <w:pPr>
              <w:pStyle w:val="2"/>
              <w:rPr>
                <w:rFonts w:ascii="仿宋" w:hAnsi="仿宋" w:eastAsia="仿宋"/>
                <w:sz w:val="24"/>
              </w:rPr>
            </w:pPr>
            <w:r>
              <w:rPr>
                <w:rFonts w:hint="eastAsia" w:ascii="仿宋" w:hAnsi="仿宋" w:eastAsia="仿宋"/>
                <w:sz w:val="24"/>
              </w:rPr>
              <w:t>户口所在地</w:t>
            </w:r>
          </w:p>
        </w:tc>
        <w:tc>
          <w:tcPr>
            <w:tcW w:w="7590" w:type="dxa"/>
            <w:gridSpan w:val="10"/>
            <w:vAlign w:val="center"/>
          </w:tcPr>
          <w:p>
            <w:pPr>
              <w:pStyle w:val="2"/>
              <w:rPr>
                <w:rFonts w:ascii="仿宋" w:hAnsi="仿宋" w:eastAsia="仿宋"/>
                <w:sz w:val="24"/>
              </w:rPr>
            </w:pPr>
            <w:r>
              <w:rPr>
                <w:rFonts w:hint="eastAsia" w:ascii="仿宋" w:hAnsi="仿宋" w:eastAsia="仿宋"/>
                <w:sz w:val="24"/>
              </w:rPr>
              <w:t xml:space="preserve">         省           市          县（市）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1672" w:type="dxa"/>
            <w:gridSpan w:val="3"/>
            <w:vAlign w:val="center"/>
          </w:tcPr>
          <w:p>
            <w:pPr>
              <w:pStyle w:val="2"/>
              <w:rPr>
                <w:rFonts w:ascii="仿宋" w:hAnsi="仿宋" w:eastAsia="仿宋"/>
                <w:color w:val="000000"/>
                <w:sz w:val="24"/>
              </w:rPr>
            </w:pPr>
            <w:r>
              <w:rPr>
                <w:rFonts w:hint="eastAsia" w:ascii="仿宋" w:hAnsi="仿宋" w:eastAsia="仿宋"/>
                <w:color w:val="000000"/>
                <w:sz w:val="24"/>
              </w:rPr>
              <w:t>紧急联系电话</w:t>
            </w:r>
          </w:p>
        </w:tc>
        <w:tc>
          <w:tcPr>
            <w:tcW w:w="7590" w:type="dxa"/>
            <w:gridSpan w:val="10"/>
            <w:vAlign w:val="center"/>
          </w:tcPr>
          <w:p>
            <w:pPr>
              <w:pStyle w:val="2"/>
              <w:rPr>
                <w:rFonts w:ascii="仿宋" w:hAnsi="仿宋" w:eastAsia="仿宋"/>
                <w:sz w:val="24"/>
              </w:rPr>
            </w:pPr>
            <w:r>
              <w:rPr>
                <w:rFonts w:hint="eastAsia" w:ascii="仿宋" w:hAnsi="仿宋" w:eastAsia="仿宋"/>
                <w:sz w:val="24"/>
              </w:rPr>
              <w:t>父手机：                   母手机：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3371" w:type="dxa"/>
            <w:gridSpan w:val="8"/>
            <w:tcBorders>
              <w:top w:val="nil"/>
            </w:tcBorders>
            <w:vAlign w:val="center"/>
          </w:tcPr>
          <w:p>
            <w:pPr>
              <w:pStyle w:val="2"/>
              <w:rPr>
                <w:rFonts w:ascii="仿宋" w:hAnsi="仿宋" w:eastAsia="仿宋"/>
                <w:sz w:val="24"/>
              </w:rPr>
            </w:pPr>
            <w:r>
              <w:rPr>
                <w:rFonts w:hint="eastAsia" w:ascii="仿宋" w:hAnsi="仿宋" w:eastAsia="仿宋"/>
                <w:sz w:val="24"/>
              </w:rPr>
              <w:t>前往国/地区是否有拒签记录</w:t>
            </w:r>
          </w:p>
        </w:tc>
        <w:tc>
          <w:tcPr>
            <w:tcW w:w="5891" w:type="dxa"/>
            <w:gridSpan w:val="5"/>
            <w:tcBorders>
              <w:top w:val="nil"/>
            </w:tcBorders>
            <w:vAlign w:val="center"/>
          </w:tcPr>
          <w:p>
            <w:pPr>
              <w:pStyle w:val="2"/>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2196" w:type="dxa"/>
            <w:gridSpan w:val="5"/>
            <w:tcBorders>
              <w:top w:val="nil"/>
            </w:tcBorders>
            <w:vAlign w:val="center"/>
          </w:tcPr>
          <w:p>
            <w:pPr>
              <w:pStyle w:val="2"/>
              <w:rPr>
                <w:rFonts w:ascii="仿宋" w:hAnsi="仿宋" w:eastAsia="仿宋"/>
                <w:sz w:val="24"/>
              </w:rPr>
            </w:pPr>
            <w:r>
              <w:rPr>
                <w:rFonts w:hint="eastAsia" w:ascii="仿宋" w:hAnsi="仿宋" w:eastAsia="仿宋"/>
                <w:sz w:val="24"/>
              </w:rPr>
              <w:t>前往地是否有亲友</w:t>
            </w:r>
          </w:p>
        </w:tc>
        <w:tc>
          <w:tcPr>
            <w:tcW w:w="1785" w:type="dxa"/>
            <w:gridSpan w:val="4"/>
            <w:tcBorders>
              <w:top w:val="nil"/>
            </w:tcBorders>
            <w:vAlign w:val="center"/>
          </w:tcPr>
          <w:p>
            <w:pPr>
              <w:pStyle w:val="2"/>
              <w:rPr>
                <w:rFonts w:ascii="仿宋" w:hAnsi="仿宋" w:eastAsia="仿宋"/>
                <w:sz w:val="24"/>
              </w:rPr>
            </w:pPr>
            <w:r>
              <w:rPr>
                <w:rFonts w:hint="eastAsia" w:ascii="仿宋" w:hAnsi="仿宋" w:eastAsia="仿宋"/>
                <w:sz w:val="24"/>
              </w:rPr>
              <w:t>□是 □否</w:t>
            </w:r>
          </w:p>
        </w:tc>
        <w:tc>
          <w:tcPr>
            <w:tcW w:w="2227" w:type="dxa"/>
            <w:gridSpan w:val="3"/>
            <w:tcBorders>
              <w:top w:val="nil"/>
            </w:tcBorders>
            <w:vAlign w:val="center"/>
          </w:tcPr>
          <w:p>
            <w:pPr>
              <w:pStyle w:val="2"/>
              <w:rPr>
                <w:rFonts w:ascii="仿宋" w:hAnsi="仿宋" w:eastAsia="仿宋"/>
                <w:sz w:val="24"/>
              </w:rPr>
            </w:pPr>
            <w:r>
              <w:rPr>
                <w:rFonts w:hint="eastAsia" w:ascii="仿宋" w:hAnsi="仿宋" w:eastAsia="仿宋"/>
                <w:sz w:val="24"/>
              </w:rPr>
              <w:t>是否需会见</w:t>
            </w:r>
          </w:p>
        </w:tc>
        <w:tc>
          <w:tcPr>
            <w:tcW w:w="3054" w:type="dxa"/>
            <w:tcBorders>
              <w:top w:val="nil"/>
            </w:tcBorders>
            <w:vAlign w:val="center"/>
          </w:tcPr>
          <w:p>
            <w:pPr>
              <w:pStyle w:val="2"/>
              <w:rPr>
                <w:rFonts w:ascii="仿宋" w:hAnsi="仿宋" w:eastAsia="仿宋"/>
                <w:sz w:val="24"/>
              </w:rPr>
            </w:pPr>
            <w:r>
              <w:rPr>
                <w:rFonts w:hint="eastAsia" w:ascii="仿宋" w:hAnsi="仿宋" w:eastAsia="仿宋"/>
                <w:sz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7" w:hRule="atLeast"/>
          <w:jc w:val="center"/>
        </w:trPr>
        <w:tc>
          <w:tcPr>
            <w:tcW w:w="525" w:type="dxa"/>
            <w:vMerge w:val="restart"/>
            <w:vAlign w:val="center"/>
          </w:tcPr>
          <w:p>
            <w:pPr>
              <w:pStyle w:val="2"/>
              <w:jc w:val="center"/>
              <w:rPr>
                <w:rFonts w:ascii="仿宋" w:hAnsi="仿宋" w:eastAsia="仿宋"/>
                <w:sz w:val="24"/>
              </w:rPr>
            </w:pPr>
            <w:r>
              <w:rPr>
                <w:rFonts w:hint="eastAsia" w:ascii="仿宋" w:hAnsi="仿宋" w:eastAsia="仿宋"/>
                <w:sz w:val="24"/>
              </w:rPr>
              <w:t>健</w:t>
            </w:r>
          </w:p>
          <w:p>
            <w:pPr>
              <w:pStyle w:val="2"/>
              <w:jc w:val="center"/>
              <w:rPr>
                <w:rFonts w:ascii="仿宋" w:hAnsi="仿宋" w:eastAsia="仿宋"/>
                <w:sz w:val="24"/>
              </w:rPr>
            </w:pPr>
            <w:r>
              <w:rPr>
                <w:rFonts w:hint="eastAsia" w:ascii="仿宋" w:hAnsi="仿宋" w:eastAsia="仿宋"/>
                <w:sz w:val="24"/>
              </w:rPr>
              <w:t>康</w:t>
            </w:r>
          </w:p>
          <w:p>
            <w:pPr>
              <w:pStyle w:val="2"/>
              <w:jc w:val="center"/>
              <w:rPr>
                <w:rFonts w:ascii="仿宋" w:hAnsi="仿宋" w:eastAsia="仿宋"/>
                <w:sz w:val="24"/>
              </w:rPr>
            </w:pPr>
            <w:r>
              <w:rPr>
                <w:rFonts w:hint="eastAsia" w:ascii="仿宋" w:hAnsi="仿宋" w:eastAsia="仿宋"/>
                <w:sz w:val="24"/>
              </w:rPr>
              <w:t>状</w:t>
            </w:r>
          </w:p>
          <w:p>
            <w:pPr>
              <w:pStyle w:val="2"/>
              <w:jc w:val="center"/>
              <w:rPr>
                <w:rFonts w:ascii="仿宋" w:hAnsi="仿宋" w:eastAsia="仿宋"/>
                <w:sz w:val="24"/>
              </w:rPr>
            </w:pPr>
            <w:r>
              <w:rPr>
                <w:rFonts w:hint="eastAsia" w:ascii="仿宋" w:hAnsi="仿宋" w:eastAsia="仿宋"/>
                <w:sz w:val="24"/>
              </w:rPr>
              <w:t>况</w:t>
            </w:r>
          </w:p>
        </w:tc>
        <w:tc>
          <w:tcPr>
            <w:tcW w:w="8737" w:type="dxa"/>
            <w:gridSpan w:val="12"/>
            <w:vAlign w:val="center"/>
          </w:tcPr>
          <w:p>
            <w:pPr>
              <w:pStyle w:val="2"/>
              <w:rPr>
                <w:rFonts w:ascii="仿宋" w:hAnsi="仿宋" w:eastAsia="仿宋"/>
                <w:sz w:val="24"/>
              </w:rPr>
            </w:pPr>
            <w:r>
              <w:rPr>
                <w:rFonts w:hint="eastAsia" w:ascii="仿宋" w:hAnsi="仿宋" w:eastAsia="仿宋"/>
                <w:sz w:val="24"/>
              </w:rPr>
              <w:t>是否有药物过敏：□是 □否  何种药物过敏：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66" w:hRule="atLeast"/>
          <w:jc w:val="center"/>
        </w:trPr>
        <w:tc>
          <w:tcPr>
            <w:tcW w:w="525" w:type="dxa"/>
            <w:vMerge w:val="continue"/>
            <w:vAlign w:val="center"/>
          </w:tcPr>
          <w:p>
            <w:pPr>
              <w:pStyle w:val="2"/>
              <w:jc w:val="center"/>
              <w:rPr>
                <w:rFonts w:ascii="仿宋" w:hAnsi="仿宋" w:eastAsia="仿宋"/>
                <w:sz w:val="24"/>
              </w:rPr>
            </w:pPr>
          </w:p>
        </w:tc>
        <w:tc>
          <w:tcPr>
            <w:tcW w:w="8737" w:type="dxa"/>
            <w:gridSpan w:val="12"/>
          </w:tcPr>
          <w:p>
            <w:pPr>
              <w:pStyle w:val="2"/>
              <w:rPr>
                <w:rFonts w:ascii="仿宋" w:hAnsi="仿宋" w:eastAsia="仿宋"/>
                <w:sz w:val="24"/>
              </w:rPr>
            </w:pPr>
            <w:r>
              <w:rPr>
                <w:rFonts w:hint="eastAsia" w:ascii="仿宋" w:hAnsi="仿宋" w:eastAsia="仿宋"/>
                <w:sz w:val="24"/>
              </w:rPr>
              <w:t>既往病史：为确保意外情况下能够得到妥善救治，请如实填写。因瞒报病史造成的人身伤害由申请者承担。</w:t>
            </w:r>
          </w:p>
          <w:p>
            <w:pPr>
              <w:pStyle w:val="2"/>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3" w:hRule="atLeast"/>
          <w:jc w:val="center"/>
        </w:trPr>
        <w:tc>
          <w:tcPr>
            <w:tcW w:w="525" w:type="dxa"/>
            <w:tcBorders>
              <w:bottom w:val="single" w:color="auto" w:sz="4" w:space="0"/>
            </w:tcBorders>
            <w:vAlign w:val="center"/>
          </w:tcPr>
          <w:p>
            <w:pPr>
              <w:pStyle w:val="2"/>
              <w:jc w:val="center"/>
              <w:rPr>
                <w:rFonts w:ascii="仿宋" w:hAnsi="仿宋" w:eastAsia="仿宋"/>
                <w:bCs/>
                <w:sz w:val="24"/>
              </w:rPr>
            </w:pPr>
            <w:r>
              <w:rPr>
                <w:rFonts w:hint="eastAsia" w:ascii="仿宋" w:hAnsi="仿宋" w:eastAsia="仿宋"/>
                <w:bCs/>
                <w:sz w:val="24"/>
              </w:rPr>
              <w:t>风险告知</w:t>
            </w:r>
          </w:p>
        </w:tc>
        <w:tc>
          <w:tcPr>
            <w:tcW w:w="8737" w:type="dxa"/>
            <w:gridSpan w:val="12"/>
            <w:tcBorders>
              <w:bottom w:val="single" w:color="auto" w:sz="4" w:space="0"/>
            </w:tcBorders>
            <w:vAlign w:val="center"/>
          </w:tcPr>
          <w:p>
            <w:pPr>
              <w:pStyle w:val="3"/>
              <w:numPr>
                <w:numId w:val="0"/>
              </w:numPr>
              <w:tabs>
                <w:tab w:val="left" w:pos="0"/>
              </w:tabs>
              <w:spacing w:line="360" w:lineRule="exact"/>
              <w:rPr>
                <w:rFonts w:ascii="仿宋" w:hAnsi="仿宋" w:eastAsia="仿宋"/>
                <w:color w:val="000000"/>
                <w:sz w:val="24"/>
                <w:szCs w:val="15"/>
              </w:rPr>
            </w:pPr>
            <w:r>
              <w:rPr>
                <w:rFonts w:hint="eastAsia" w:ascii="仿宋" w:hAnsi="仿宋" w:eastAsia="仿宋"/>
                <w:color w:val="000000"/>
                <w:sz w:val="24"/>
                <w:szCs w:val="18"/>
                <w:lang w:val="en-US" w:eastAsia="zh-CN"/>
              </w:rPr>
              <w:t>1.</w:t>
            </w:r>
            <w:r>
              <w:rPr>
                <w:rFonts w:hint="eastAsia" w:ascii="仿宋" w:hAnsi="仿宋" w:eastAsia="仿宋"/>
                <w:color w:val="000000"/>
                <w:sz w:val="24"/>
                <w:szCs w:val="18"/>
              </w:rPr>
              <w:t>签证是主权国家准许外国公民出入境或经过国境的一种许可证明。外国公民入境另一个主权国家是有条件限制的，只有符合申请国入境条件的外国公民才能够取得签证。</w:t>
            </w:r>
            <w:r>
              <w:rPr>
                <w:rFonts w:hint="eastAsia" w:ascii="仿宋" w:hAnsi="仿宋" w:eastAsia="仿宋"/>
                <w:color w:val="000000"/>
                <w:sz w:val="24"/>
                <w:szCs w:val="15"/>
              </w:rPr>
              <w:t>各国</w:t>
            </w:r>
            <w:r>
              <w:rPr>
                <w:rFonts w:ascii="仿宋" w:hAnsi="仿宋" w:eastAsia="仿宋"/>
                <w:color w:val="000000"/>
                <w:sz w:val="24"/>
                <w:szCs w:val="15"/>
              </w:rPr>
              <w:t>政府</w:t>
            </w:r>
            <w:r>
              <w:rPr>
                <w:rFonts w:hint="eastAsia" w:ascii="仿宋" w:hAnsi="仿宋" w:eastAsia="仿宋"/>
                <w:color w:val="000000"/>
                <w:sz w:val="24"/>
                <w:szCs w:val="15"/>
              </w:rPr>
              <w:t>对</w:t>
            </w:r>
            <w:r>
              <w:rPr>
                <w:rFonts w:ascii="仿宋" w:hAnsi="仿宋" w:eastAsia="仿宋"/>
                <w:color w:val="000000"/>
                <w:sz w:val="24"/>
                <w:szCs w:val="15"/>
              </w:rPr>
              <w:t>签证申请的审查标准</w:t>
            </w:r>
            <w:r>
              <w:rPr>
                <w:rFonts w:hint="eastAsia" w:ascii="仿宋" w:hAnsi="仿宋" w:eastAsia="仿宋"/>
                <w:color w:val="000000"/>
                <w:sz w:val="24"/>
                <w:szCs w:val="15"/>
              </w:rPr>
              <w:t>和</w:t>
            </w:r>
            <w:r>
              <w:rPr>
                <w:rFonts w:ascii="仿宋" w:hAnsi="仿宋" w:eastAsia="仿宋"/>
                <w:color w:val="000000"/>
                <w:sz w:val="24"/>
                <w:szCs w:val="15"/>
              </w:rPr>
              <w:t>审理情况</w:t>
            </w:r>
            <w:r>
              <w:rPr>
                <w:rFonts w:hint="eastAsia" w:ascii="仿宋" w:hAnsi="仿宋" w:eastAsia="仿宋"/>
                <w:color w:val="000000"/>
                <w:sz w:val="24"/>
                <w:szCs w:val="15"/>
              </w:rPr>
              <w:t>具有</w:t>
            </w:r>
            <w:r>
              <w:rPr>
                <w:rFonts w:ascii="仿宋" w:hAnsi="仿宋" w:eastAsia="仿宋"/>
                <w:color w:val="000000"/>
                <w:sz w:val="24"/>
                <w:szCs w:val="15"/>
              </w:rPr>
              <w:t>不确定性，</w:t>
            </w:r>
            <w:r>
              <w:rPr>
                <w:rFonts w:hint="eastAsia" w:ascii="仿宋" w:hAnsi="仿宋" w:eastAsia="仿宋"/>
                <w:color w:val="000000"/>
                <w:sz w:val="24"/>
                <w:szCs w:val="15"/>
              </w:rPr>
              <w:t>有可能</w:t>
            </w:r>
            <w:r>
              <w:rPr>
                <w:rFonts w:ascii="仿宋" w:hAnsi="仿宋" w:eastAsia="仿宋"/>
                <w:color w:val="000000"/>
                <w:sz w:val="24"/>
                <w:szCs w:val="15"/>
              </w:rPr>
              <w:t>要求申请人提出其他的补充文件</w:t>
            </w:r>
            <w:r>
              <w:rPr>
                <w:rFonts w:hint="eastAsia" w:ascii="仿宋" w:hAnsi="仿宋" w:eastAsia="仿宋"/>
                <w:color w:val="000000"/>
                <w:sz w:val="24"/>
                <w:szCs w:val="15"/>
              </w:rPr>
              <w:t>，</w:t>
            </w:r>
            <w:r>
              <w:rPr>
                <w:rFonts w:ascii="仿宋" w:hAnsi="仿宋" w:eastAsia="仿宋"/>
                <w:color w:val="000000"/>
                <w:sz w:val="24"/>
                <w:szCs w:val="15"/>
              </w:rPr>
              <w:t>延后取得签证时间</w:t>
            </w:r>
            <w:r>
              <w:rPr>
                <w:rFonts w:hint="eastAsia" w:ascii="仿宋" w:hAnsi="仿宋" w:eastAsia="仿宋"/>
                <w:color w:val="000000"/>
                <w:sz w:val="24"/>
                <w:szCs w:val="15"/>
              </w:rPr>
              <w:t>，甚至拒绝签证申请。非组织方主观原因造成的签证风险及其附带损失由申请者承担。</w:t>
            </w:r>
            <w:r>
              <w:rPr>
                <w:rFonts w:hint="eastAsia" w:ascii="仿宋" w:hAnsi="仿宋" w:eastAsia="仿宋"/>
                <w:color w:val="000000"/>
                <w:sz w:val="24"/>
                <w:szCs w:val="15"/>
                <w:lang w:eastAsia="zh-CN"/>
              </w:rPr>
              <w:t>我国</w:t>
            </w:r>
            <w:r>
              <w:rPr>
                <w:rFonts w:hint="eastAsia" w:ascii="仿宋" w:hAnsi="仿宋" w:eastAsia="仿宋"/>
                <w:color w:val="000000"/>
                <w:sz w:val="24"/>
                <w:szCs w:val="15"/>
              </w:rPr>
              <w:t>台湾地区入台签注具有同等风险。*有拒签记录的同学，避免再次申报同一国家。</w:t>
            </w:r>
          </w:p>
          <w:p>
            <w:pPr>
              <w:pStyle w:val="3"/>
              <w:numPr>
                <w:numId w:val="0"/>
              </w:numPr>
              <w:tabs>
                <w:tab w:val="left" w:pos="0"/>
              </w:tabs>
              <w:spacing w:line="360" w:lineRule="exact"/>
              <w:ind w:leftChars="0"/>
              <w:rPr>
                <w:rFonts w:ascii="仿宋" w:hAnsi="仿宋" w:eastAsia="仿宋"/>
                <w:color w:val="000000"/>
                <w:sz w:val="24"/>
                <w:szCs w:val="15"/>
              </w:rPr>
            </w:pPr>
            <w:r>
              <w:rPr>
                <w:rFonts w:hint="eastAsia" w:ascii="仿宋" w:hAnsi="仿宋" w:eastAsia="仿宋"/>
                <w:color w:val="000000"/>
                <w:sz w:val="24"/>
                <w:szCs w:val="15"/>
                <w:lang w:val="en-US" w:eastAsia="zh-CN"/>
              </w:rPr>
              <w:t>2.</w:t>
            </w:r>
            <w:r>
              <w:rPr>
                <w:rFonts w:hint="eastAsia" w:ascii="仿宋" w:hAnsi="仿宋" w:eastAsia="仿宋"/>
                <w:color w:val="000000"/>
                <w:sz w:val="24"/>
                <w:szCs w:val="15"/>
              </w:rPr>
              <w:t>因不可抗力因素（如台风、雪灾等恶劣天气，动乱、罢工等社会异常事件）影响修学旅行行程的，苏教国际会及时向参团师生做出说明并按需调整行程。不同意行程变更的师生可退出课程，苏教国际按国家相关规定，扣除已支付且不可退还的费用后，将余款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31" w:hRule="atLeast"/>
          <w:jc w:val="center"/>
        </w:trPr>
        <w:tc>
          <w:tcPr>
            <w:tcW w:w="525" w:type="dxa"/>
            <w:tcBorders>
              <w:bottom w:val="single" w:color="auto" w:sz="4" w:space="0"/>
            </w:tcBorders>
            <w:vAlign w:val="center"/>
          </w:tcPr>
          <w:p>
            <w:pPr>
              <w:pStyle w:val="2"/>
              <w:jc w:val="center"/>
              <w:rPr>
                <w:rFonts w:ascii="仿宋" w:hAnsi="仿宋" w:eastAsia="仿宋"/>
                <w:bCs/>
                <w:sz w:val="24"/>
              </w:rPr>
            </w:pPr>
            <w:r>
              <w:rPr>
                <w:rFonts w:hint="eastAsia" w:ascii="仿宋" w:hAnsi="仿宋" w:eastAsia="仿宋"/>
                <w:bCs/>
                <w:sz w:val="24"/>
              </w:rPr>
              <w:t>退团退 费 须 知</w:t>
            </w:r>
          </w:p>
        </w:tc>
        <w:tc>
          <w:tcPr>
            <w:tcW w:w="8737" w:type="dxa"/>
            <w:gridSpan w:val="12"/>
            <w:tcBorders>
              <w:bottom w:val="single" w:color="auto" w:sz="4" w:space="0"/>
            </w:tcBorders>
            <w:vAlign w:val="center"/>
          </w:tcPr>
          <w:p>
            <w:pPr>
              <w:numPr>
                <w:numId w:val="0"/>
              </w:numPr>
              <w:spacing w:line="360" w:lineRule="exact"/>
              <w:jc w:val="both"/>
              <w:rPr>
                <w:rFonts w:hint="eastAsia" w:ascii="仿宋" w:hAnsi="仿宋" w:eastAsia="仿宋"/>
                <w:sz w:val="24"/>
                <w:highlight w:val="none"/>
              </w:rPr>
            </w:pPr>
            <w:r>
              <w:rPr>
                <w:rFonts w:hint="eastAsia" w:ascii="仿宋" w:hAnsi="仿宋" w:eastAsia="仿宋"/>
                <w:sz w:val="24"/>
                <w:highlight w:val="none"/>
                <w:lang w:val="en-US" w:eastAsia="zh-CN"/>
              </w:rPr>
              <w:t>1.</w:t>
            </w:r>
            <w:r>
              <w:rPr>
                <w:rFonts w:hint="eastAsia" w:ascii="仿宋" w:hAnsi="仿宋" w:eastAsia="仿宋"/>
                <w:sz w:val="24"/>
                <w:highlight w:val="none"/>
              </w:rPr>
              <w:t>学生通过线上报名缴费系统缴纳3000元预收款（在总费用中扣除），用于境外修学旅行的前期筹备工作。报名后三周内收取剩余团款。</w:t>
            </w:r>
          </w:p>
          <w:p>
            <w:pPr>
              <w:spacing w:line="360" w:lineRule="exact"/>
              <w:jc w:val="both"/>
              <w:rPr>
                <w:rFonts w:hint="eastAsia" w:ascii="仿宋" w:hAnsi="仿宋" w:eastAsia="仿宋"/>
                <w:sz w:val="24"/>
                <w:highlight w:val="none"/>
              </w:rPr>
            </w:pPr>
            <w:r>
              <w:rPr>
                <w:rFonts w:hint="eastAsia" w:ascii="仿宋" w:hAnsi="仿宋" w:eastAsia="仿宋"/>
                <w:sz w:val="24"/>
                <w:highlight w:val="none"/>
                <w:lang w:val="en-US" w:eastAsia="zh-CN"/>
              </w:rPr>
              <w:t>2.</w:t>
            </w:r>
            <w:r>
              <w:rPr>
                <w:rFonts w:hint="eastAsia" w:ascii="仿宋" w:hAnsi="仿宋" w:eastAsia="仿宋"/>
                <w:sz w:val="24"/>
                <w:highlight w:val="none"/>
              </w:rPr>
              <w:t>报名者如欲退出，通过学校报名的须书面报告并经所在学校及市相关部门同意后向苏教国际提出申请，个人直接报名的直接向苏教国际提出申请，以收到日期为准。</w:t>
            </w:r>
          </w:p>
          <w:p>
            <w:pPr>
              <w:spacing w:line="360" w:lineRule="exact"/>
              <w:jc w:val="both"/>
              <w:rPr>
                <w:rFonts w:hint="eastAsia" w:ascii="仿宋" w:hAnsi="仿宋" w:eastAsia="仿宋"/>
                <w:sz w:val="24"/>
                <w:highlight w:val="none"/>
              </w:rPr>
            </w:pPr>
            <w:r>
              <w:rPr>
                <w:rFonts w:hint="eastAsia" w:ascii="仿宋" w:hAnsi="仿宋" w:eastAsia="仿宋"/>
                <w:sz w:val="24"/>
                <w:highlight w:val="none"/>
                <w:lang w:val="en-US" w:eastAsia="zh-CN"/>
              </w:rPr>
              <w:t>3.</w:t>
            </w:r>
            <w:r>
              <w:rPr>
                <w:rFonts w:hint="eastAsia" w:ascii="仿宋" w:hAnsi="仿宋" w:eastAsia="仿宋"/>
                <w:sz w:val="24"/>
                <w:highlight w:val="none"/>
              </w:rPr>
              <w:t>报名后送签前退出的，扣预收款1000元；送签后至出团前15天退出的，扣总团款50%；出团前14至2天退出的，扣总团款80%；出团前1天或当天退出的，扣总团款90%。因涉及机票定金、境外预付款等，如决定退出，则退出越早，损失越小。</w:t>
            </w:r>
          </w:p>
          <w:p>
            <w:pPr>
              <w:spacing w:line="360" w:lineRule="exact"/>
              <w:jc w:val="both"/>
              <w:rPr>
                <w:rFonts w:ascii="仿宋" w:hAnsi="仿宋" w:eastAsia="仿宋"/>
                <w:sz w:val="24"/>
                <w:highlight w:val="red"/>
              </w:rPr>
            </w:pPr>
            <w:r>
              <w:rPr>
                <w:rFonts w:hint="eastAsia" w:ascii="仿宋" w:hAnsi="仿宋" w:eastAsia="仿宋"/>
                <w:sz w:val="24"/>
                <w:highlight w:val="none"/>
                <w:lang w:val="en-US" w:eastAsia="zh-CN"/>
              </w:rPr>
              <w:t>4.</w:t>
            </w:r>
            <w:bookmarkStart w:id="0" w:name="_GoBack"/>
            <w:bookmarkEnd w:id="0"/>
            <w:r>
              <w:rPr>
                <w:rFonts w:hint="eastAsia" w:ascii="仿宋" w:hAnsi="仿宋" w:eastAsia="仿宋"/>
                <w:sz w:val="24"/>
                <w:highlight w:val="none"/>
              </w:rPr>
              <w:t>因签证拒签未能成行者，只收取签证相关费用，其余团款全退。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3" w:hRule="atLeast"/>
          <w:jc w:val="center"/>
        </w:trPr>
        <w:tc>
          <w:tcPr>
            <w:tcW w:w="525" w:type="dxa"/>
            <w:vAlign w:val="center"/>
          </w:tcPr>
          <w:p>
            <w:pPr>
              <w:pStyle w:val="2"/>
              <w:jc w:val="center"/>
              <w:rPr>
                <w:rFonts w:ascii="仿宋" w:hAnsi="仿宋" w:eastAsia="仿宋"/>
                <w:sz w:val="24"/>
              </w:rPr>
            </w:pPr>
            <w:r>
              <w:rPr>
                <w:rFonts w:hint="eastAsia" w:ascii="仿宋" w:hAnsi="仿宋" w:eastAsia="仿宋"/>
                <w:sz w:val="24"/>
              </w:rPr>
              <w:t>家长</w:t>
            </w:r>
          </w:p>
          <w:p>
            <w:pPr>
              <w:pStyle w:val="2"/>
              <w:jc w:val="center"/>
              <w:rPr>
                <w:rFonts w:ascii="仿宋" w:hAnsi="仿宋" w:eastAsia="仿宋"/>
                <w:bCs/>
                <w:sz w:val="24"/>
              </w:rPr>
            </w:pPr>
            <w:r>
              <w:rPr>
                <w:rFonts w:hint="eastAsia" w:ascii="仿宋" w:hAnsi="仿宋" w:eastAsia="仿宋"/>
                <w:sz w:val="24"/>
              </w:rPr>
              <w:t>意见</w:t>
            </w:r>
          </w:p>
        </w:tc>
        <w:tc>
          <w:tcPr>
            <w:tcW w:w="8737" w:type="dxa"/>
            <w:gridSpan w:val="12"/>
            <w:vAlign w:val="center"/>
          </w:tcPr>
          <w:p>
            <w:pPr>
              <w:pStyle w:val="2"/>
              <w:rPr>
                <w:rFonts w:ascii="仿宋" w:hAnsi="仿宋" w:eastAsia="仿宋"/>
                <w:sz w:val="24"/>
              </w:rPr>
            </w:pPr>
            <w:r>
              <w:rPr>
                <w:rFonts w:hint="eastAsia" w:ascii="仿宋" w:hAnsi="仿宋" w:eastAsia="仿宋"/>
                <w:sz w:val="24"/>
              </w:rPr>
              <w:t>我们</w:t>
            </w:r>
            <w:r>
              <w:rPr>
                <w:rFonts w:hint="eastAsia" w:ascii="仿宋" w:hAnsi="仿宋" w:eastAsia="仿宋"/>
                <w:b/>
                <w:sz w:val="24"/>
              </w:rPr>
              <w:t>已认真阅读并同意上述内容</w:t>
            </w:r>
            <w:r>
              <w:rPr>
                <w:rFonts w:hint="eastAsia" w:ascii="仿宋" w:hAnsi="仿宋" w:eastAsia="仿宋"/>
                <w:bCs/>
                <w:sz w:val="24"/>
              </w:rPr>
              <w:t>，并已</w:t>
            </w:r>
            <w:r>
              <w:rPr>
                <w:rFonts w:hint="eastAsia" w:ascii="仿宋" w:hAnsi="仿宋" w:eastAsia="仿宋"/>
                <w:sz w:val="24"/>
              </w:rPr>
              <w:t>如实填写此表，</w:t>
            </w:r>
            <w:r>
              <w:rPr>
                <w:rFonts w:hint="eastAsia" w:ascii="仿宋" w:hAnsi="仿宋" w:eastAsia="仿宋"/>
                <w:bCs/>
                <w:sz w:val="24"/>
              </w:rPr>
              <w:t>我们</w:t>
            </w:r>
            <w:r>
              <w:rPr>
                <w:rFonts w:hint="eastAsia" w:ascii="仿宋" w:hAnsi="仿宋" w:eastAsia="仿宋"/>
                <w:sz w:val="24"/>
              </w:rPr>
              <w:t>同意并全额资助我们的孩子参加修学旅行。我们将按照要求如实提供所需资料，并督促孩子遵守修学旅行团的各项规章，保证孩子按时返回。</w:t>
            </w:r>
          </w:p>
          <w:p>
            <w:pPr>
              <w:pStyle w:val="3"/>
              <w:spacing w:line="360" w:lineRule="exact"/>
              <w:ind w:firstLine="0" w:firstLineChars="0"/>
              <w:rPr>
                <w:rFonts w:ascii="仿宋" w:hAnsi="仿宋" w:eastAsia="仿宋"/>
                <w:sz w:val="24"/>
              </w:rPr>
            </w:pPr>
            <w:r>
              <w:rPr>
                <w:rFonts w:hint="eastAsia" w:ascii="仿宋" w:hAnsi="仿宋" w:eastAsia="仿宋"/>
                <w:sz w:val="24"/>
              </w:rPr>
              <w:t>父亲签名：              母亲签名：                 年    月    日</w:t>
            </w:r>
          </w:p>
        </w:tc>
      </w:tr>
    </w:tbl>
    <w:p>
      <w:pPr>
        <w:pStyle w:val="2"/>
        <w:spacing w:line="240" w:lineRule="auto"/>
        <w:rPr>
          <w:rFonts w:ascii="仿宋" w:hAnsi="仿宋" w:eastAsia="仿宋"/>
          <w:sz w:val="24"/>
        </w:rPr>
      </w:pPr>
      <w:r>
        <w:rPr>
          <w:rFonts w:hint="eastAsia" w:ascii="仿宋" w:hAnsi="仿宋" w:eastAsia="仿宋"/>
          <w:sz w:val="24"/>
        </w:rPr>
        <w:t>填表注意：</w:t>
      </w:r>
    </w:p>
    <w:p>
      <w:pPr>
        <w:pStyle w:val="2"/>
        <w:spacing w:line="240" w:lineRule="auto"/>
        <w:rPr>
          <w:rFonts w:ascii="仿宋" w:hAnsi="仿宋" w:eastAsia="仿宋"/>
          <w:sz w:val="24"/>
        </w:rPr>
      </w:pPr>
      <w:r>
        <w:rPr>
          <w:rFonts w:hint="eastAsia" w:ascii="仿宋" w:hAnsi="仿宋" w:eastAsia="仿宋"/>
          <w:sz w:val="24"/>
        </w:rPr>
        <w:t>1.此表一式两份，苏教国际与学生个人各留存一份；</w:t>
      </w:r>
    </w:p>
    <w:p>
      <w:pPr>
        <w:pStyle w:val="2"/>
        <w:spacing w:line="240" w:lineRule="auto"/>
        <w:rPr>
          <w:rFonts w:ascii="仿宋" w:hAnsi="仿宋" w:eastAsia="仿宋"/>
          <w:sz w:val="24"/>
        </w:rPr>
      </w:pPr>
      <w:r>
        <w:rPr>
          <w:rFonts w:hint="eastAsia" w:ascii="仿宋" w:hAnsi="仿宋" w:eastAsia="仿宋"/>
          <w:sz w:val="24"/>
        </w:rPr>
        <w:t>2.请用正楷填写；信息必须与户口簿、身份证上一致。</w:t>
      </w:r>
    </w:p>
    <w:p>
      <w:pPr>
        <w:jc w:val="center"/>
        <w:rPr>
          <w:rFonts w:hint="eastAsia" w:eastAsiaTheme="minorEastAsia"/>
          <w:b/>
          <w:bCs/>
          <w:i w:val="0"/>
          <w:iCs w:val="0"/>
          <w:shadow/>
          <w:emboss w:val="0"/>
          <w:imprint w:val="0"/>
          <w:lang w:eastAsia="zh-CN"/>
        </w:rPr>
      </w:pPr>
      <w:r>
        <w:rPr>
          <w:rFonts w:hint="eastAsia" w:ascii="黑体" w:hAnsi="黑体" w:eastAsia="黑体" w:cs="黑体"/>
          <w:b/>
          <w:bCs/>
          <w:i w:val="0"/>
          <w:iCs w:val="0"/>
          <w:shadow/>
          <w:emboss w:val="0"/>
          <w:imprint w:val="0"/>
          <w:color w:val="4F81BD" w:themeColor="accent1"/>
          <w:sz w:val="52"/>
          <w:szCs w:val="52"/>
          <w:lang w:val="en-US" w:eastAsia="zh-CN"/>
        </w:rPr>
        <w:t>修学旅行课程线上报名指南</w:t>
      </w:r>
    </w:p>
    <w:p>
      <w:pPr>
        <w:rPr>
          <w:rFonts w:hint="eastAsia" w:eastAsiaTheme="minorEastAsia"/>
          <w:lang w:val="en-US" w:eastAsia="zh-CN"/>
        </w:rPr>
      </w:pPr>
      <w:r>
        <w:rPr>
          <w:rFonts w:hint="eastAsia" w:eastAsiaTheme="minorEastAsia"/>
          <w:lang w:val="en-US" w:eastAsia="zh-CN"/>
        </w:rPr>
        <w:drawing>
          <wp:inline distT="0" distB="0" distL="114300" distR="114300">
            <wp:extent cx="5269230" cy="4451985"/>
            <wp:effectExtent l="0" t="0" r="7620" b="5715"/>
            <wp:docPr id="1" name="图片 1" descr="360截图1630042983126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60截图1630042983126140"/>
                    <pic:cNvPicPr>
                      <a:picLocks noChangeAspect="1"/>
                    </pic:cNvPicPr>
                  </pic:nvPicPr>
                  <pic:blipFill>
                    <a:blip r:embed="rId5"/>
                    <a:stretch>
                      <a:fillRect/>
                    </a:stretch>
                  </pic:blipFill>
                  <pic:spPr>
                    <a:xfrm>
                      <a:off x="0" y="0"/>
                      <a:ext cx="5269230" cy="4451985"/>
                    </a:xfrm>
                    <a:prstGeom prst="rect">
                      <a:avLst/>
                    </a:prstGeom>
                  </pic:spPr>
                </pic:pic>
              </a:graphicData>
            </a:graphic>
          </wp:inline>
        </w:drawing>
      </w:r>
    </w:p>
    <w:p>
      <w:pPr>
        <w:rPr>
          <w:rFonts w:hint="eastAsia" w:eastAsiaTheme="minorEastAsia"/>
          <w:lang w:val="en-US" w:eastAsia="zh-CN"/>
        </w:rPr>
      </w:pPr>
    </w:p>
    <w:p>
      <w:pPr>
        <w:rPr>
          <w:rFonts w:ascii="仿宋" w:hAnsi="仿宋" w:eastAsia="仿宋" w:cs="宋体"/>
          <w:sz w:val="24"/>
          <w:szCs w:val="24"/>
        </w:rPr>
      </w:pPr>
      <w:r>
        <w:rPr>
          <w:rFonts w:hint="eastAsia" w:ascii="仿宋" w:hAnsi="仿宋" w:eastAsia="仿宋" w:cs="宋体"/>
          <w:sz w:val="24"/>
          <w:szCs w:val="24"/>
        </w:rPr>
        <w:t>第一步，打开“扫一扫”， 扫描二维码并关注公众号；</w:t>
      </w:r>
    </w:p>
    <w:p>
      <w:pPr>
        <w:rPr>
          <w:rFonts w:ascii="仿宋" w:hAnsi="仿宋" w:eastAsia="仿宋" w:cs="宋体"/>
          <w:sz w:val="24"/>
          <w:szCs w:val="24"/>
        </w:rPr>
      </w:pPr>
      <w:r>
        <w:rPr>
          <w:rFonts w:hint="eastAsia" w:ascii="仿宋" w:hAnsi="仿宋" w:eastAsia="仿宋" w:cs="宋体"/>
          <w:sz w:val="24"/>
          <w:szCs w:val="24"/>
        </w:rPr>
        <w:t>第二步，点击“精彩项目”中“境外修学旅行”；</w:t>
      </w:r>
    </w:p>
    <w:p>
      <w:pPr>
        <w:rPr>
          <w:rFonts w:ascii="仿宋" w:hAnsi="仿宋" w:eastAsia="仿宋" w:cs="宋体"/>
          <w:sz w:val="24"/>
          <w:szCs w:val="24"/>
        </w:rPr>
      </w:pPr>
      <w:r>
        <w:rPr>
          <w:rFonts w:hint="eastAsia" w:ascii="仿宋" w:hAnsi="仿宋" w:eastAsia="仿宋" w:cs="宋体"/>
          <w:sz w:val="24"/>
          <w:szCs w:val="24"/>
        </w:rPr>
        <w:t>第三步，点击“账号注册”，填写手机号、设置密码、填写学校认证码完成注册；</w:t>
      </w:r>
    </w:p>
    <w:p>
      <w:pPr>
        <w:rPr>
          <w:rFonts w:ascii="仿宋" w:hAnsi="仿宋" w:eastAsia="仿宋" w:cs="宋体"/>
          <w:sz w:val="24"/>
          <w:szCs w:val="24"/>
        </w:rPr>
      </w:pPr>
      <w:r>
        <w:rPr>
          <w:rFonts w:hint="eastAsia" w:ascii="仿宋" w:hAnsi="仿宋" w:eastAsia="仿宋" w:cs="宋体"/>
          <w:sz w:val="24"/>
          <w:szCs w:val="24"/>
        </w:rPr>
        <w:t>第四步，进入后选择线路，点击“选课报名”；</w:t>
      </w:r>
    </w:p>
    <w:p>
      <w:pPr>
        <w:rPr>
          <w:rFonts w:ascii="仿宋" w:hAnsi="仿宋" w:eastAsia="仿宋" w:cs="宋体"/>
          <w:sz w:val="24"/>
          <w:szCs w:val="24"/>
        </w:rPr>
      </w:pPr>
      <w:r>
        <w:rPr>
          <w:rFonts w:hint="eastAsia" w:ascii="仿宋" w:hAnsi="仿宋" w:eastAsia="仿宋" w:cs="宋体"/>
          <w:sz w:val="24"/>
          <w:szCs w:val="24"/>
        </w:rPr>
        <w:t>第五步，完善个人信息，点击“下一步”；</w:t>
      </w:r>
    </w:p>
    <w:p>
      <w:pPr>
        <w:rPr>
          <w:rFonts w:ascii="仿宋" w:hAnsi="仿宋" w:eastAsia="仿宋" w:cs="宋体"/>
          <w:sz w:val="24"/>
          <w:szCs w:val="24"/>
        </w:rPr>
      </w:pPr>
      <w:r>
        <w:rPr>
          <w:rFonts w:hint="eastAsia" w:ascii="仿宋" w:hAnsi="仿宋" w:eastAsia="仿宋" w:cs="宋体"/>
          <w:sz w:val="24"/>
          <w:szCs w:val="24"/>
        </w:rPr>
        <w:t>第六步，核对个人信息无误后，以“微信支付”或“支付宝”方式付款，完成预收款或全款支付。</w:t>
      </w:r>
    </w:p>
    <w:p>
      <w:pPr>
        <w:rPr>
          <w:rFonts w:ascii="仿宋" w:hAnsi="仿宋" w:eastAsia="仿宋" w:cs="宋体"/>
          <w:sz w:val="24"/>
          <w:szCs w:val="24"/>
        </w:rPr>
      </w:pPr>
    </w:p>
    <w:p>
      <w:pPr>
        <w:rPr>
          <w:rFonts w:ascii="黑体" w:hAnsi="黑体" w:eastAsia="黑体"/>
          <w:b w:val="0"/>
          <w:bCs/>
          <w:color w:val="auto"/>
          <w:sz w:val="24"/>
          <w:szCs w:val="24"/>
        </w:rPr>
      </w:pPr>
      <w:r>
        <w:rPr>
          <w:rFonts w:hint="eastAsia" w:ascii="黑体" w:hAnsi="黑体" w:eastAsia="黑体" w:cs="宋体"/>
          <w:b w:val="0"/>
          <w:bCs/>
          <w:color w:val="auto"/>
          <w:sz w:val="24"/>
          <w:szCs w:val="24"/>
        </w:rPr>
        <w:t>【特别提醒：在使用微信</w:t>
      </w:r>
      <w:r>
        <w:rPr>
          <w:rFonts w:ascii="黑体" w:hAnsi="黑体" w:eastAsia="黑体" w:cs="宋体"/>
          <w:b w:val="0"/>
          <w:bCs/>
          <w:color w:val="auto"/>
          <w:sz w:val="24"/>
          <w:szCs w:val="24"/>
        </w:rPr>
        <w:t>或者支付宝</w:t>
      </w:r>
      <w:r>
        <w:rPr>
          <w:rFonts w:hint="eastAsia" w:ascii="黑体" w:hAnsi="黑体" w:eastAsia="黑体" w:cs="宋体"/>
          <w:b w:val="0"/>
          <w:bCs/>
          <w:color w:val="auto"/>
          <w:sz w:val="24"/>
          <w:szCs w:val="24"/>
        </w:rPr>
        <w:t>付款的</w:t>
      </w:r>
      <w:r>
        <w:rPr>
          <w:rFonts w:ascii="黑体" w:hAnsi="黑体" w:eastAsia="黑体" w:cs="宋体"/>
          <w:b w:val="0"/>
          <w:bCs/>
          <w:color w:val="auto"/>
          <w:sz w:val="24"/>
          <w:szCs w:val="24"/>
        </w:rPr>
        <w:t>过程中，如因</w:t>
      </w:r>
      <w:r>
        <w:rPr>
          <w:rFonts w:hint="eastAsia" w:ascii="黑体" w:hAnsi="黑体" w:eastAsia="黑体" w:cs="宋体"/>
          <w:b w:val="0"/>
          <w:bCs/>
          <w:color w:val="auto"/>
          <w:sz w:val="24"/>
          <w:szCs w:val="24"/>
        </w:rPr>
        <w:t>支付</w:t>
      </w:r>
      <w:r>
        <w:rPr>
          <w:rFonts w:ascii="黑体" w:hAnsi="黑体" w:eastAsia="黑体" w:cs="宋体"/>
          <w:b w:val="0"/>
          <w:bCs/>
          <w:color w:val="auto"/>
          <w:sz w:val="24"/>
          <w:szCs w:val="24"/>
        </w:rPr>
        <w:t>限额</w:t>
      </w:r>
      <w:r>
        <w:rPr>
          <w:rFonts w:hint="eastAsia" w:ascii="黑体" w:hAnsi="黑体" w:eastAsia="黑体" w:cs="宋体"/>
          <w:b w:val="0"/>
          <w:bCs/>
          <w:color w:val="auto"/>
          <w:sz w:val="24"/>
          <w:szCs w:val="24"/>
        </w:rPr>
        <w:t>问题</w:t>
      </w:r>
      <w:r>
        <w:rPr>
          <w:rFonts w:ascii="黑体" w:hAnsi="黑体" w:eastAsia="黑体" w:cs="宋体"/>
          <w:b w:val="0"/>
          <w:bCs/>
          <w:color w:val="auto"/>
          <w:sz w:val="24"/>
          <w:szCs w:val="24"/>
        </w:rPr>
        <w:t>导致</w:t>
      </w:r>
      <w:r>
        <w:rPr>
          <w:rFonts w:hint="eastAsia" w:ascii="黑体" w:hAnsi="黑体" w:eastAsia="黑体" w:cs="宋体"/>
          <w:b w:val="0"/>
          <w:bCs/>
          <w:color w:val="auto"/>
          <w:sz w:val="24"/>
          <w:szCs w:val="24"/>
        </w:rPr>
        <w:t>尾款</w:t>
      </w:r>
      <w:r>
        <w:rPr>
          <w:rFonts w:hint="eastAsia" w:ascii="黑体" w:hAnsi="黑体" w:eastAsia="黑体" w:cs="宋体"/>
          <w:b/>
          <w:bCs w:val="0"/>
          <w:color w:val="auto"/>
          <w:sz w:val="24"/>
          <w:szCs w:val="24"/>
        </w:rPr>
        <w:t>不能一次性支付</w:t>
      </w:r>
      <w:r>
        <w:rPr>
          <w:rFonts w:hint="eastAsia" w:ascii="黑体" w:hAnsi="黑体" w:eastAsia="黑体" w:cs="宋体"/>
          <w:b w:val="0"/>
          <w:bCs/>
          <w:color w:val="auto"/>
          <w:sz w:val="24"/>
          <w:szCs w:val="24"/>
        </w:rPr>
        <w:t>的，请</w:t>
      </w:r>
      <w:r>
        <w:rPr>
          <w:rFonts w:hint="eastAsia" w:ascii="黑体" w:hAnsi="黑体" w:eastAsia="黑体" w:cs="宋体"/>
          <w:b/>
          <w:bCs w:val="0"/>
          <w:color w:val="auto"/>
          <w:sz w:val="24"/>
          <w:szCs w:val="24"/>
        </w:rPr>
        <w:t>参考以下支付办法</w:t>
      </w:r>
      <w:r>
        <w:rPr>
          <w:rFonts w:hint="eastAsia" w:ascii="黑体" w:hAnsi="黑体" w:eastAsia="黑体" w:cs="宋体"/>
          <w:b w:val="0"/>
          <w:bCs/>
          <w:color w:val="auto"/>
          <w:sz w:val="24"/>
          <w:szCs w:val="24"/>
        </w:rPr>
        <w:t>】</w:t>
      </w:r>
    </w:p>
    <w:p>
      <w:pPr>
        <w:rPr>
          <w:rFonts w:ascii="仿宋" w:hAnsi="仿宋" w:eastAsia="仿宋"/>
          <w:color w:val="auto"/>
          <w:sz w:val="24"/>
          <w:szCs w:val="24"/>
        </w:rPr>
      </w:pPr>
      <w:r>
        <w:rPr>
          <w:rFonts w:hint="eastAsia" w:ascii="仿宋" w:hAnsi="仿宋" w:eastAsia="仿宋"/>
          <w:b/>
          <w:color w:val="auto"/>
          <w:sz w:val="24"/>
          <w:szCs w:val="24"/>
        </w:rPr>
        <w:t>办法1</w:t>
      </w:r>
      <w:r>
        <w:rPr>
          <w:rFonts w:hint="eastAsia" w:ascii="仿宋" w:hAnsi="仿宋" w:eastAsia="仿宋" w:cs="宋体"/>
          <w:color w:val="auto"/>
          <w:sz w:val="24"/>
          <w:szCs w:val="24"/>
        </w:rPr>
        <w:t>：</w:t>
      </w:r>
      <w:r>
        <w:rPr>
          <w:rFonts w:hint="eastAsia" w:ascii="仿宋" w:hAnsi="仿宋" w:eastAsia="仿宋" w:cs="宋体"/>
          <w:b/>
          <w:bCs/>
          <w:color w:val="auto"/>
          <w:sz w:val="24"/>
          <w:szCs w:val="24"/>
        </w:rPr>
        <w:t>分几天转账</w:t>
      </w:r>
      <w:r>
        <w:rPr>
          <w:rFonts w:hint="eastAsia" w:ascii="仿宋" w:hAnsi="仿宋" w:eastAsia="仿宋" w:cs="宋体"/>
          <w:color w:val="auto"/>
          <w:sz w:val="24"/>
          <w:szCs w:val="24"/>
        </w:rPr>
        <w:t>到您</w:t>
      </w:r>
      <w:r>
        <w:rPr>
          <w:rFonts w:ascii="仿宋" w:hAnsi="仿宋" w:eastAsia="仿宋" w:cs="宋体"/>
          <w:color w:val="auto"/>
          <w:sz w:val="24"/>
          <w:szCs w:val="24"/>
        </w:rPr>
        <w:t>的</w:t>
      </w:r>
      <w:r>
        <w:rPr>
          <w:rFonts w:hint="eastAsia" w:ascii="仿宋" w:hAnsi="仿宋" w:eastAsia="仿宋" w:cs="宋体"/>
          <w:b/>
          <w:bCs/>
          <w:color w:val="auto"/>
          <w:sz w:val="24"/>
          <w:szCs w:val="24"/>
        </w:rPr>
        <w:t>微信钱包</w:t>
      </w:r>
      <w:r>
        <w:rPr>
          <w:rFonts w:hint="eastAsia" w:ascii="仿宋" w:hAnsi="仿宋" w:eastAsia="仿宋" w:cs="宋体"/>
          <w:color w:val="auto"/>
          <w:sz w:val="24"/>
          <w:szCs w:val="24"/>
        </w:rPr>
        <w:t>或者</w:t>
      </w:r>
      <w:r>
        <w:rPr>
          <w:rFonts w:hint="eastAsia" w:ascii="仿宋" w:hAnsi="仿宋" w:eastAsia="仿宋" w:cs="宋体"/>
          <w:b/>
          <w:bCs/>
          <w:color w:val="auto"/>
          <w:sz w:val="24"/>
          <w:szCs w:val="24"/>
        </w:rPr>
        <w:t>支付宝余额</w:t>
      </w:r>
      <w:r>
        <w:rPr>
          <w:rFonts w:hint="eastAsia" w:ascii="仿宋" w:hAnsi="仿宋" w:eastAsia="仿宋" w:cs="宋体"/>
          <w:color w:val="auto"/>
          <w:sz w:val="24"/>
          <w:szCs w:val="24"/>
        </w:rPr>
        <w:t>，达到尾款数额后可一次性支付。根据央行要求</w:t>
      </w:r>
      <w:r>
        <w:rPr>
          <w:rFonts w:ascii="仿宋" w:hAnsi="仿宋" w:eastAsia="仿宋" w:cs="宋体"/>
          <w:color w:val="auto"/>
          <w:sz w:val="24"/>
          <w:szCs w:val="24"/>
        </w:rPr>
        <w:t>，</w:t>
      </w:r>
      <w:r>
        <w:rPr>
          <w:rFonts w:hint="eastAsia" w:ascii="仿宋" w:hAnsi="仿宋" w:eastAsia="仿宋" w:cs="宋体"/>
          <w:color w:val="auto"/>
          <w:sz w:val="24"/>
          <w:szCs w:val="24"/>
        </w:rPr>
        <w:t>微信或支付宝</w:t>
      </w:r>
      <w:r>
        <w:rPr>
          <w:rFonts w:ascii="仿宋" w:hAnsi="仿宋" w:eastAsia="仿宋" w:cs="宋体"/>
          <w:color w:val="auto"/>
          <w:sz w:val="24"/>
          <w:szCs w:val="24"/>
        </w:rPr>
        <w:t>个人名下账号</w:t>
      </w:r>
      <w:r>
        <w:rPr>
          <w:rFonts w:hint="eastAsia" w:ascii="仿宋" w:hAnsi="仿宋" w:eastAsia="仿宋" w:cs="宋体"/>
          <w:color w:val="auto"/>
          <w:sz w:val="24"/>
          <w:szCs w:val="24"/>
        </w:rPr>
        <w:t>累计</w:t>
      </w:r>
      <w:r>
        <w:rPr>
          <w:rFonts w:ascii="仿宋" w:hAnsi="仿宋" w:eastAsia="仿宋" w:cs="宋体"/>
          <w:color w:val="auto"/>
          <w:sz w:val="24"/>
          <w:szCs w:val="24"/>
        </w:rPr>
        <w:t>零钱支付限额为</w:t>
      </w:r>
      <w:r>
        <w:rPr>
          <w:rFonts w:hint="eastAsia" w:ascii="仿宋" w:hAnsi="仿宋" w:eastAsia="仿宋"/>
          <w:color w:val="auto"/>
          <w:sz w:val="24"/>
          <w:szCs w:val="24"/>
        </w:rPr>
        <w:t>20</w:t>
      </w:r>
      <w:r>
        <w:rPr>
          <w:rFonts w:hint="eastAsia" w:ascii="仿宋" w:hAnsi="仿宋" w:eastAsia="仿宋" w:cs="宋体"/>
          <w:color w:val="auto"/>
          <w:sz w:val="24"/>
          <w:szCs w:val="24"/>
        </w:rPr>
        <w:t>万/年，如已超额则无法按此方式支付，建议尝试下面第2种办法，或</w:t>
      </w:r>
      <w:r>
        <w:rPr>
          <w:rFonts w:hint="eastAsia" w:ascii="仿宋" w:hAnsi="仿宋" w:eastAsia="仿宋" w:cs="宋体"/>
          <w:color w:val="auto"/>
          <w:sz w:val="24"/>
          <w:szCs w:val="24"/>
          <w:lang w:eastAsia="zh-CN"/>
        </w:rPr>
        <w:t>使用</w:t>
      </w:r>
      <w:r>
        <w:rPr>
          <w:rFonts w:hint="eastAsia" w:ascii="仿宋" w:hAnsi="仿宋" w:eastAsia="仿宋" w:cs="宋体"/>
          <w:color w:val="auto"/>
          <w:sz w:val="24"/>
          <w:szCs w:val="24"/>
        </w:rPr>
        <w:t>未超额的微信或支付宝账号；</w:t>
      </w:r>
    </w:p>
    <w:p>
      <w:pPr>
        <w:rPr>
          <w:rFonts w:ascii="仿宋" w:hAnsi="仿宋" w:eastAsia="仿宋" w:cs="仿宋"/>
          <w:color w:val="auto"/>
          <w:kern w:val="0"/>
          <w:sz w:val="24"/>
          <w:szCs w:val="24"/>
        </w:rPr>
      </w:pPr>
      <w:r>
        <w:rPr>
          <w:rFonts w:hint="eastAsia" w:ascii="仿宋" w:hAnsi="仿宋" w:eastAsia="仿宋"/>
          <w:b/>
          <w:color w:val="auto"/>
          <w:sz w:val="24"/>
          <w:szCs w:val="24"/>
        </w:rPr>
        <w:t>办法2</w:t>
      </w:r>
      <w:r>
        <w:rPr>
          <w:rFonts w:hint="eastAsia" w:ascii="仿宋" w:hAnsi="仿宋" w:eastAsia="仿宋" w:cs="宋体"/>
          <w:color w:val="auto"/>
          <w:sz w:val="24"/>
          <w:szCs w:val="24"/>
        </w:rPr>
        <w:t>：使用您</w:t>
      </w:r>
      <w:r>
        <w:rPr>
          <w:rFonts w:ascii="仿宋" w:hAnsi="仿宋" w:eastAsia="仿宋" w:cs="宋体"/>
          <w:color w:val="auto"/>
          <w:sz w:val="24"/>
          <w:szCs w:val="24"/>
        </w:rPr>
        <w:t>的</w:t>
      </w:r>
      <w:r>
        <w:rPr>
          <w:rFonts w:hint="eastAsia" w:ascii="仿宋" w:hAnsi="仿宋" w:eastAsia="仿宋" w:cs="宋体"/>
          <w:b/>
          <w:bCs/>
          <w:color w:val="auto"/>
          <w:sz w:val="24"/>
          <w:szCs w:val="24"/>
        </w:rPr>
        <w:t>微信或者支付宝绑定信用卡</w:t>
      </w:r>
      <w:r>
        <w:rPr>
          <w:rFonts w:hint="eastAsia" w:ascii="仿宋" w:hAnsi="仿宋" w:eastAsia="仿宋" w:cs="宋体"/>
          <w:color w:val="auto"/>
          <w:sz w:val="24"/>
          <w:szCs w:val="24"/>
        </w:rPr>
        <w:t>，只要</w:t>
      </w:r>
      <w:r>
        <w:rPr>
          <w:rFonts w:hint="eastAsia" w:ascii="仿宋" w:hAnsi="仿宋" w:eastAsia="仿宋" w:cs="宋体"/>
          <w:b/>
          <w:bCs/>
          <w:color w:val="auto"/>
          <w:sz w:val="24"/>
          <w:szCs w:val="24"/>
        </w:rPr>
        <w:t>信用卡额度</w:t>
      </w:r>
      <w:r>
        <w:rPr>
          <w:rFonts w:hint="eastAsia" w:ascii="仿宋" w:hAnsi="仿宋" w:eastAsia="仿宋" w:cs="宋体"/>
          <w:color w:val="auto"/>
          <w:sz w:val="24"/>
          <w:szCs w:val="24"/>
        </w:rPr>
        <w:t>超过尾款数额即可付款。</w:t>
      </w:r>
    </w:p>
    <w:p>
      <w:pPr>
        <w:rPr>
          <w:rFonts w:ascii="华文仿宋" w:hAnsi="华文仿宋" w:eastAsia="华文仿宋"/>
          <w:color w:val="auto"/>
          <w:sz w:val="24"/>
          <w:szCs w:val="24"/>
        </w:rPr>
      </w:pPr>
      <w:r>
        <w:rPr>
          <w:rFonts w:hint="eastAsia" w:ascii="仿宋" w:hAnsi="仿宋" w:eastAsia="仿宋" w:cs="宋体"/>
          <w:color w:val="auto"/>
          <w:sz w:val="24"/>
          <w:szCs w:val="24"/>
        </w:rPr>
        <w:t>如仍有问题，请与我中心具体负责人员联系。</w:t>
      </w:r>
    </w:p>
    <w:p>
      <w:pPr>
        <w:pStyle w:val="10"/>
        <w:rPr>
          <w:color w:val="auto"/>
        </w:rPr>
      </w:pPr>
    </w:p>
    <w:sectPr>
      <w:pgSz w:w="11906" w:h="16838"/>
      <w:pgMar w:top="1440"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55D6"/>
    <w:rsid w:val="000C57B2"/>
    <w:rsid w:val="004C4D4C"/>
    <w:rsid w:val="00592F77"/>
    <w:rsid w:val="005F0D38"/>
    <w:rsid w:val="00786463"/>
    <w:rsid w:val="008155D6"/>
    <w:rsid w:val="00886040"/>
    <w:rsid w:val="00F93538"/>
    <w:rsid w:val="0A432531"/>
    <w:rsid w:val="2BB939AF"/>
    <w:rsid w:val="3F101AEF"/>
    <w:rsid w:val="47BF4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4"/>
    <w:qFormat/>
    <w:uiPriority w:val="0"/>
    <w:pPr>
      <w:spacing w:line="360" w:lineRule="exact"/>
    </w:pPr>
    <w:rPr>
      <w:rFonts w:ascii="楷体_GB2312" w:hAnsi="Times New Roman" w:eastAsia="楷体_GB2312" w:cs="Times New Roman"/>
      <w:sz w:val="28"/>
      <w:szCs w:val="24"/>
    </w:rPr>
  </w:style>
  <w:style w:type="paragraph" w:styleId="3">
    <w:name w:val="Body Text Indent"/>
    <w:basedOn w:val="1"/>
    <w:link w:val="13"/>
    <w:qFormat/>
    <w:uiPriority w:val="0"/>
    <w:pPr>
      <w:ind w:firstLine="560" w:firstLineChars="200"/>
    </w:pPr>
    <w:rPr>
      <w:rFonts w:ascii="Times New Roman" w:hAnsi="Times New Roman" w:eastAsia="宋体" w:cs="Times New Roman"/>
      <w:sz w:val="28"/>
      <w:szCs w:val="24"/>
    </w:rPr>
  </w:style>
  <w:style w:type="paragraph" w:styleId="4">
    <w:name w:val="Balloon Text"/>
    <w:basedOn w:val="1"/>
    <w:link w:val="9"/>
    <w:semiHidden/>
    <w:unhideWhenUsed/>
    <w:qFormat/>
    <w:uiPriority w:val="99"/>
    <w:rPr>
      <w:sz w:val="18"/>
      <w:szCs w:val="18"/>
    </w:rPr>
  </w:style>
  <w:style w:type="paragraph" w:styleId="5">
    <w:name w:val="footer"/>
    <w:basedOn w:val="1"/>
    <w:link w:val="12"/>
    <w:semiHidden/>
    <w:unhideWhenUsed/>
    <w:qFormat/>
    <w:uiPriority w:val="99"/>
    <w:pPr>
      <w:tabs>
        <w:tab w:val="center" w:pos="4153"/>
        <w:tab w:val="right" w:pos="8306"/>
      </w:tabs>
      <w:snapToGrid w:val="0"/>
      <w:jc w:val="left"/>
    </w:pPr>
    <w:rPr>
      <w:sz w:val="18"/>
      <w:szCs w:val="18"/>
    </w:rPr>
  </w:style>
  <w:style w:type="paragraph" w:styleId="6">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批注框文本 Char"/>
    <w:basedOn w:val="7"/>
    <w:link w:val="4"/>
    <w:semiHidden/>
    <w:qFormat/>
    <w:uiPriority w:val="99"/>
    <w:rPr>
      <w:sz w:val="18"/>
      <w:szCs w:val="18"/>
    </w:r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1">
    <w:name w:val="页眉 Char"/>
    <w:basedOn w:val="7"/>
    <w:link w:val="6"/>
    <w:semiHidden/>
    <w:qFormat/>
    <w:uiPriority w:val="99"/>
    <w:rPr>
      <w:sz w:val="18"/>
      <w:szCs w:val="18"/>
    </w:rPr>
  </w:style>
  <w:style w:type="character" w:customStyle="1" w:styleId="12">
    <w:name w:val="页脚 Char"/>
    <w:basedOn w:val="7"/>
    <w:link w:val="5"/>
    <w:semiHidden/>
    <w:qFormat/>
    <w:uiPriority w:val="99"/>
    <w:rPr>
      <w:sz w:val="18"/>
      <w:szCs w:val="18"/>
    </w:rPr>
  </w:style>
  <w:style w:type="character" w:customStyle="1" w:styleId="13">
    <w:name w:val="正文文本缩进 Char"/>
    <w:basedOn w:val="7"/>
    <w:link w:val="3"/>
    <w:qFormat/>
    <w:uiPriority w:val="0"/>
    <w:rPr>
      <w:rFonts w:ascii="Times New Roman" w:hAnsi="Times New Roman" w:eastAsia="宋体" w:cs="Times New Roman"/>
      <w:sz w:val="28"/>
      <w:szCs w:val="24"/>
    </w:rPr>
  </w:style>
  <w:style w:type="character" w:customStyle="1" w:styleId="14">
    <w:name w:val="正文文本 Char"/>
    <w:basedOn w:val="7"/>
    <w:link w:val="2"/>
    <w:qFormat/>
    <w:uiPriority w:val="0"/>
    <w:rPr>
      <w:rFonts w:ascii="楷体_GB2312" w:hAnsi="Times New Roman" w:eastAsia="楷体_GB2312" w:cs="Times New Roman"/>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230</Words>
  <Characters>1315</Characters>
  <Lines>10</Lines>
  <Paragraphs>3</Paragraphs>
  <TotalTime>20</TotalTime>
  <ScaleCrop>false</ScaleCrop>
  <LinksUpToDate>false</LinksUpToDate>
  <CharactersWithSpaces>1542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2019-01-15T08:42:00Z</dcterms:created>
  <dc:creator>Administrator</dc:creator>
  <cp:lastModifiedBy>Yael</cp:lastModifiedBy>
  <cp:lastPrinted>2019-01-24T01:33:00Z</cp:lastPrinted>
  <dcterms:modified xsi:type="dcterms:W3CDTF">2019-02-19T07:47:57Z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